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63716A">
      <w:pPr>
        <w:jc w:val="center"/>
        <w:rPr>
          <w:rFonts w:hint="eastAsia" w:ascii="仿宋_GB2312" w:hAnsi="仿宋_GB2312" w:eastAsia="仿宋_GB2312" w:cs="仿宋_GB2312"/>
          <w:sz w:val="40"/>
          <w:szCs w:val="40"/>
          <w:lang w:eastAsia="zh-CN"/>
        </w:rPr>
      </w:pPr>
      <w:r>
        <w:rPr>
          <w:rFonts w:hint="eastAsia" w:ascii="仿宋_GB2312" w:hAnsi="仿宋_GB2312" w:eastAsia="仿宋_GB2312" w:cs="仿宋_GB2312"/>
          <w:b/>
          <w:bCs/>
          <w:sz w:val="40"/>
          <w:szCs w:val="40"/>
          <w:lang w:eastAsia="zh-CN"/>
        </w:rPr>
        <w:t>2024年</w:t>
      </w:r>
      <w:r>
        <w:rPr>
          <w:rFonts w:hint="eastAsia" w:ascii="仿宋_GB2312" w:hAnsi="仿宋_GB2312" w:eastAsia="仿宋_GB2312" w:cs="仿宋_GB2312"/>
          <w:b/>
          <w:bCs/>
          <w:sz w:val="40"/>
          <w:szCs w:val="40"/>
        </w:rPr>
        <w:t>度</w:t>
      </w:r>
      <w:r>
        <w:rPr>
          <w:rFonts w:hint="eastAsia" w:ascii="仿宋_GB2312" w:hAnsi="仿宋_GB2312" w:eastAsia="仿宋_GB2312" w:cs="仿宋_GB2312"/>
          <w:b/>
          <w:bCs/>
          <w:sz w:val="40"/>
          <w:szCs w:val="40"/>
          <w:lang w:eastAsia="zh-CN"/>
        </w:rPr>
        <w:t>教育教学工作经费项目</w:t>
      </w:r>
      <w:r>
        <w:rPr>
          <w:rFonts w:hint="eastAsia" w:ascii="仿宋_GB2312" w:hAnsi="仿宋_GB2312" w:eastAsia="仿宋_GB2312" w:cs="仿宋_GB2312"/>
          <w:b/>
          <w:bCs/>
          <w:sz w:val="40"/>
          <w:szCs w:val="40"/>
        </w:rPr>
        <w:t>自评</w:t>
      </w:r>
      <w:r>
        <w:rPr>
          <w:rFonts w:hint="eastAsia" w:ascii="仿宋_GB2312" w:hAnsi="仿宋_GB2312" w:eastAsia="仿宋_GB2312" w:cs="仿宋_GB2312"/>
          <w:b/>
          <w:bCs/>
          <w:sz w:val="40"/>
          <w:szCs w:val="40"/>
          <w:lang w:val="en-US" w:eastAsia="zh-CN"/>
        </w:rPr>
        <w:t>报告</w:t>
      </w:r>
    </w:p>
    <w:p w14:paraId="6D303C6A">
      <w:pPr>
        <w:jc w:val="center"/>
        <w:rPr>
          <w:rFonts w:hint="eastAsia" w:ascii="仿宋_GB2312" w:hAnsi="仿宋_GB2312" w:eastAsia="仿宋_GB2312" w:cs="仿宋_GB2312"/>
          <w:sz w:val="32"/>
          <w:szCs w:val="32"/>
        </w:rPr>
      </w:pPr>
      <w:bookmarkStart w:id="0" w:name="_Hlk101974413"/>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缩略</w:t>
      </w:r>
      <w:r>
        <w:rPr>
          <w:rFonts w:hint="eastAsia" w:ascii="仿宋_GB2312" w:hAnsi="仿宋_GB2312" w:eastAsia="仿宋_GB2312" w:cs="仿宋_GB2312"/>
          <w:sz w:val="32"/>
          <w:szCs w:val="32"/>
        </w:rPr>
        <w:t>版)</w:t>
      </w:r>
    </w:p>
    <w:bookmarkEnd w:id="0"/>
    <w:p w14:paraId="6CD4CBA0">
      <w:pPr>
        <w:numPr>
          <w:ilvl w:val="0"/>
          <w:numId w:val="1"/>
        </w:num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自评结论</w:t>
      </w:r>
    </w:p>
    <w:p w14:paraId="6FEAFDCA">
      <w:pPr>
        <w:numPr>
          <w:ilvl w:val="0"/>
          <w:numId w:val="2"/>
        </w:num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自评得分</w:t>
      </w:r>
    </w:p>
    <w:p w14:paraId="5292E8DA">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本项目自评得分</w:t>
      </w:r>
      <w:r>
        <w:rPr>
          <w:rFonts w:hint="eastAsia" w:ascii="仿宋_GB2312" w:hAnsi="仿宋_GB2312" w:eastAsia="仿宋_GB2312" w:cs="仿宋_GB2312"/>
          <w:sz w:val="28"/>
          <w:szCs w:val="28"/>
          <w:lang w:val="en-US" w:eastAsia="zh-CN"/>
        </w:rPr>
        <w:t>94.22</w:t>
      </w:r>
      <w:r>
        <w:rPr>
          <w:rFonts w:hint="eastAsia" w:ascii="仿宋_GB2312" w:hAnsi="仿宋_GB2312" w:eastAsia="仿宋_GB2312" w:cs="仿宋_GB2312"/>
          <w:sz w:val="28"/>
          <w:szCs w:val="28"/>
        </w:rPr>
        <w:t>分。</w:t>
      </w:r>
      <w:r>
        <w:rPr>
          <w:rFonts w:hint="eastAsia" w:ascii="仿宋_GB2312" w:hAnsi="仿宋_GB2312" w:eastAsia="仿宋_GB2312" w:cs="仿宋_GB2312"/>
          <w:sz w:val="28"/>
          <w:szCs w:val="28"/>
          <w:lang w:eastAsia="zh-CN"/>
        </w:rPr>
        <w:t>2024年</w:t>
      </w:r>
      <w:r>
        <w:rPr>
          <w:rFonts w:hint="eastAsia" w:ascii="仿宋_GB2312" w:hAnsi="仿宋_GB2312" w:eastAsia="仿宋_GB2312" w:cs="仿宋_GB2312"/>
          <w:sz w:val="28"/>
          <w:szCs w:val="28"/>
        </w:rPr>
        <w:t>我区</w:t>
      </w:r>
      <w:r>
        <w:rPr>
          <w:rFonts w:hint="eastAsia" w:ascii="仿宋_GB2312" w:hAnsi="仿宋_GB2312" w:eastAsia="仿宋_GB2312" w:cs="仿宋_GB2312"/>
          <w:sz w:val="28"/>
          <w:szCs w:val="28"/>
          <w:lang w:eastAsia="zh-CN"/>
        </w:rPr>
        <w:t>教育教学工作经费项目</w:t>
      </w:r>
      <w:r>
        <w:rPr>
          <w:rFonts w:hint="eastAsia" w:ascii="仿宋_GB2312" w:hAnsi="仿宋_GB2312" w:eastAsia="仿宋_GB2312" w:cs="仿宋_GB2312"/>
          <w:sz w:val="28"/>
          <w:szCs w:val="28"/>
        </w:rPr>
        <w:t>已按计划完成预定目标，基本达到了预期效果。</w:t>
      </w:r>
    </w:p>
    <w:p w14:paraId="70ED982B">
      <w:pPr>
        <w:numPr>
          <w:ilvl w:val="0"/>
          <w:numId w:val="2"/>
        </w:num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绩效目标完成情况</w:t>
      </w:r>
    </w:p>
    <w:p w14:paraId="1CFE1357">
      <w:pPr>
        <w:numPr>
          <w:ilvl w:val="0"/>
          <w:numId w:val="3"/>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执行率情况</w:t>
      </w:r>
    </w:p>
    <w:p w14:paraId="7B4D1111">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2024年</w:t>
      </w:r>
      <w:r>
        <w:rPr>
          <w:rFonts w:hint="eastAsia" w:ascii="仿宋_GB2312" w:hAnsi="仿宋_GB2312" w:eastAsia="仿宋_GB2312" w:cs="仿宋_GB2312"/>
          <w:sz w:val="28"/>
          <w:szCs w:val="28"/>
        </w:rPr>
        <w:t>我区</w:t>
      </w:r>
      <w:r>
        <w:rPr>
          <w:rFonts w:hint="eastAsia" w:ascii="仿宋_GB2312" w:hAnsi="仿宋_GB2312" w:eastAsia="仿宋_GB2312" w:cs="仿宋_GB2312"/>
          <w:sz w:val="28"/>
          <w:szCs w:val="28"/>
          <w:lang w:eastAsia="zh-CN"/>
        </w:rPr>
        <w:t>教育教学工作经费项目</w:t>
      </w:r>
      <w:r>
        <w:rPr>
          <w:rFonts w:hint="eastAsia" w:ascii="仿宋_GB2312" w:hAnsi="仿宋_GB2312" w:eastAsia="仿宋_GB2312" w:cs="仿宋_GB2312"/>
          <w:sz w:val="28"/>
          <w:szCs w:val="28"/>
        </w:rPr>
        <w:t>预算总额为</w:t>
      </w:r>
      <w:r>
        <w:rPr>
          <w:rFonts w:hint="eastAsia" w:ascii="仿宋_GB2312" w:hAnsi="仿宋_GB2312" w:eastAsia="仿宋_GB2312" w:cs="仿宋_GB2312"/>
          <w:sz w:val="28"/>
          <w:szCs w:val="28"/>
          <w:lang w:val="en-US" w:eastAsia="zh-CN"/>
        </w:rPr>
        <w:t>2,073.29</w:t>
      </w:r>
      <w:r>
        <w:rPr>
          <w:rFonts w:hint="eastAsia" w:ascii="仿宋_GB2312" w:hAnsi="仿宋_GB2312" w:eastAsia="仿宋_GB2312" w:cs="仿宋_GB2312"/>
          <w:sz w:val="28"/>
          <w:szCs w:val="28"/>
        </w:rPr>
        <w:t>万元，实际执行资金</w:t>
      </w:r>
      <w:r>
        <w:rPr>
          <w:rFonts w:hint="eastAsia" w:ascii="仿宋_GB2312" w:hAnsi="仿宋_GB2312" w:eastAsia="仿宋_GB2312" w:cs="仿宋_GB2312"/>
          <w:sz w:val="28"/>
          <w:szCs w:val="28"/>
          <w:lang w:val="en-US" w:eastAsia="zh-CN"/>
        </w:rPr>
        <w:t>1,473.89</w:t>
      </w:r>
      <w:r>
        <w:rPr>
          <w:rFonts w:hint="eastAsia" w:ascii="仿宋_GB2312" w:hAnsi="仿宋_GB2312" w:eastAsia="仿宋_GB2312" w:cs="仿宋_GB2312"/>
          <w:sz w:val="28"/>
          <w:szCs w:val="28"/>
        </w:rPr>
        <w:t>万元，执行率为</w:t>
      </w:r>
      <w:r>
        <w:rPr>
          <w:rFonts w:hint="eastAsia" w:ascii="仿宋_GB2312" w:hAnsi="仿宋_GB2312" w:eastAsia="仿宋_GB2312" w:cs="仿宋_GB2312"/>
          <w:sz w:val="28"/>
          <w:szCs w:val="28"/>
          <w:lang w:val="en-US" w:eastAsia="zh-CN"/>
        </w:rPr>
        <w:t>71.09%</w:t>
      </w:r>
      <w:r>
        <w:rPr>
          <w:rFonts w:hint="eastAsia" w:ascii="仿宋_GB2312" w:hAnsi="仿宋_GB2312" w:eastAsia="仿宋_GB2312" w:cs="仿宋_GB2312"/>
          <w:sz w:val="28"/>
          <w:szCs w:val="28"/>
        </w:rPr>
        <w:t>。</w:t>
      </w:r>
    </w:p>
    <w:p w14:paraId="6D3ED155">
      <w:pPr>
        <w:numPr>
          <w:ilvl w:val="0"/>
          <w:numId w:val="3"/>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绩效目标完成情况</w:t>
      </w:r>
    </w:p>
    <w:p w14:paraId="424816DA">
      <w:pPr>
        <w:ind w:firstLine="560" w:firstLineChars="200"/>
        <w:rPr>
          <w:rFonts w:hint="default" w:eastAsia="仿宋_GB2312"/>
          <w:lang w:val="en-US" w:eastAsia="zh-CN"/>
        </w:rPr>
      </w:pPr>
      <w:r>
        <w:rPr>
          <w:rFonts w:hint="eastAsia" w:ascii="仿宋_GB2312" w:hAnsi="仿宋_GB2312" w:eastAsia="仿宋_GB2312" w:cs="仿宋_GB2312"/>
          <w:sz w:val="28"/>
          <w:szCs w:val="28"/>
        </w:rPr>
        <w:t>项目共设置</w:t>
      </w:r>
      <w:r>
        <w:rPr>
          <w:rFonts w:hint="eastAsia" w:ascii="仿宋_GB2312" w:hAnsi="仿宋_GB2312" w:eastAsia="仿宋_GB2312" w:cs="仿宋_GB2312"/>
          <w:sz w:val="28"/>
          <w:szCs w:val="28"/>
          <w:lang w:val="en-US" w:eastAsia="zh-CN"/>
        </w:rPr>
        <w:t>27</w:t>
      </w:r>
      <w:r>
        <w:rPr>
          <w:rFonts w:hint="eastAsia" w:ascii="仿宋_GB2312" w:hAnsi="仿宋_GB2312" w:eastAsia="仿宋_GB2312" w:cs="仿宋_GB2312"/>
          <w:sz w:val="28"/>
          <w:szCs w:val="28"/>
        </w:rPr>
        <w:t>个绩效指标，实际完成</w:t>
      </w:r>
      <w:r>
        <w:rPr>
          <w:rFonts w:hint="eastAsia" w:ascii="仿宋_GB2312" w:hAnsi="仿宋_GB2312" w:eastAsia="仿宋_GB2312" w:cs="仿宋_GB2312"/>
          <w:sz w:val="28"/>
          <w:szCs w:val="28"/>
          <w:lang w:val="en-US" w:eastAsia="zh-CN"/>
        </w:rPr>
        <w:t>26</w:t>
      </w:r>
      <w:r>
        <w:rPr>
          <w:rFonts w:hint="eastAsia" w:ascii="仿宋_GB2312" w:hAnsi="仿宋_GB2312" w:eastAsia="仿宋_GB2312" w:cs="仿宋_GB2312"/>
          <w:sz w:val="28"/>
          <w:szCs w:val="28"/>
        </w:rPr>
        <w:t>个，项目产出良好，并取得良好的社会效益。</w:t>
      </w:r>
      <w:r>
        <w:rPr>
          <w:rFonts w:hint="eastAsia" w:ascii="仿宋_GB2312" w:hAnsi="仿宋_GB2312" w:eastAsia="仿宋_GB2312" w:cs="仿宋_GB2312"/>
          <w:sz w:val="28"/>
          <w:szCs w:val="28"/>
          <w:lang w:val="en-US" w:eastAsia="zh-CN"/>
        </w:rPr>
        <w:t>项目资金执行率未完成。</w:t>
      </w:r>
    </w:p>
    <w:p w14:paraId="715219A6">
      <w:pPr>
        <w:pStyle w:val="2"/>
        <w:numPr>
          <w:ilvl w:val="0"/>
          <w:numId w:val="2"/>
        </w:numPr>
        <w:ind w:firstLineChars="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存在的问题和原因</w:t>
      </w:r>
    </w:p>
    <w:p w14:paraId="04456C3D">
      <w:pPr>
        <w:ind w:firstLine="560" w:firstLineChars="200"/>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1.项目执行率较低，主要原因项目请款进度较慢。</w:t>
      </w:r>
    </w:p>
    <w:p w14:paraId="31ADED79">
      <w:pPr>
        <w:ind w:firstLine="560" w:firstLineChars="200"/>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2.教育教学工作经费涉及部门较多，各部门根据本部门的项目资金使用情况编制部门内部绩效目标申报表，但部分指标设置百分比形式较多，指标值不够清晰、可衡量；有的项目指标值标准设置过低。</w:t>
      </w:r>
    </w:p>
    <w:p w14:paraId="77D6BFD5">
      <w:pPr>
        <w:ind w:left="42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（四）下一步拟改进措施</w:t>
      </w:r>
    </w:p>
    <w:p w14:paraId="7CC6E7AD">
      <w:pPr>
        <w:ind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1.改进措施</w:t>
      </w:r>
    </w:p>
    <w:p w14:paraId="0FB1757A">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加强各部门之间的沟通与协作，确保请款信息的及时传递和反馈。建立定期沟通机制，及时解决请款过程中出现的问题，避免</w:t>
      </w:r>
      <w:bookmarkStart w:id="2" w:name="_GoBack"/>
      <w:bookmarkEnd w:id="2"/>
      <w:r>
        <w:rPr>
          <w:rFonts w:hint="eastAsia" w:ascii="仿宋_GB2312" w:hAnsi="仿宋_GB2312" w:eastAsia="仿宋_GB2312" w:cs="仿宋_GB2312"/>
          <w:sz w:val="28"/>
          <w:szCs w:val="28"/>
        </w:rPr>
        <w:t>信息不畅导致的延误。提高审批效率：对于审批人员，可以进行定期的培训，提高审批效率和质量。同时，建立激励机制，鼓励审批人员积极处理请款申请，减少拖延现象。</w:t>
      </w:r>
    </w:p>
    <w:p w14:paraId="01458DF6">
      <w:pPr>
        <w:keepNext w:val="0"/>
        <w:keepLines w:val="0"/>
        <w:pageBreakBefore w:val="0"/>
        <w:widowControl/>
        <w:wordWrap/>
        <w:overflowPunct/>
        <w:topLinePunct w:val="0"/>
        <w:bidi w:val="0"/>
        <w:adjustRightInd w:val="0"/>
        <w:snapToGrid w:val="0"/>
        <w:spacing w:line="600" w:lineRule="exact"/>
        <w:ind w:firstLine="560" w:firstLineChars="200"/>
        <w:jc w:val="left"/>
        <w:textAlignment w:val="auto"/>
        <w:rPr>
          <w:rFonts w:hint="eastAsia" w:ascii="仿宋_GB2312" w:hAnsi="仿宋_GB2312" w:eastAsia="仿宋_GB2312" w:cs="仿宋_GB2312"/>
          <w:color w:val="000000"/>
          <w:kern w:val="0"/>
          <w:sz w:val="28"/>
          <w:szCs w:val="28"/>
        </w:rPr>
      </w:pPr>
      <w:bookmarkStart w:id="1" w:name="_Toc1040"/>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2</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rPr>
        <w:t>建议提高预算编制科学性、精准性，对于一些大型项目可在编制预算的同时编制实施计划，并提前做好项目规划、评估评审和可行性论证等前期准备工作，对于跨年度项目预算拿好测算依据，减少部门预算执行中的调整，提高政府采购效率加快资金执行进度。</w:t>
      </w:r>
    </w:p>
    <w:p w14:paraId="518D56D3">
      <w:pPr>
        <w:keepNext w:val="0"/>
        <w:keepLines w:val="0"/>
        <w:pageBreakBefore w:val="0"/>
        <w:widowControl/>
        <w:wordWrap/>
        <w:overflowPunct/>
        <w:topLinePunct w:val="0"/>
        <w:bidi w:val="0"/>
        <w:adjustRightInd w:val="0"/>
        <w:snapToGrid w:val="0"/>
        <w:spacing w:line="600" w:lineRule="exact"/>
        <w:ind w:firstLine="560" w:firstLineChars="20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加强绩效宣传与沟通，提高教职工对绩效考核的重要性认识，以增进理解和认同。将绩效沟通运用于管理的全过程，财务处与相关职能处室应加强联系，相互沟通，部门和项目负责人应配合财务部门和学校开展绩效目标编制评审工作，科学、合理编制预算绩效目标。</w:t>
      </w:r>
    </w:p>
    <w:p w14:paraId="0EE77F12">
      <w:pPr>
        <w:pStyle w:val="7"/>
        <w:spacing w:line="360" w:lineRule="auto"/>
        <w:ind w:firstLine="560" w:firstLineChars="200"/>
        <w:rPr>
          <w:rFonts w:hint="eastAsia" w:ascii="仿宋_GB2312" w:hAnsi="仿宋_GB2312" w:eastAsia="仿宋_GB2312" w:cs="仿宋_GB2312"/>
          <w:sz w:val="28"/>
          <w:szCs w:val="28"/>
        </w:rPr>
      </w:pPr>
    </w:p>
    <w:p w14:paraId="0144B430">
      <w:pPr>
        <w:pStyle w:val="7"/>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2.拟与预算安排相结合情况</w:t>
      </w:r>
      <w:bookmarkEnd w:id="1"/>
    </w:p>
    <w:p w14:paraId="606F35A9">
      <w:pPr>
        <w:spacing w:line="360" w:lineRule="auto"/>
        <w:ind w:firstLine="560"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sz w:val="28"/>
          <w:szCs w:val="28"/>
        </w:rPr>
        <w:t>结合本年度预算情况，加大项目监督力度。</w:t>
      </w:r>
      <w:r>
        <w:rPr>
          <w:rFonts w:hint="eastAsia" w:ascii="仿宋_GB2312" w:hAnsi="仿宋_GB2312" w:eastAsia="仿宋_GB2312" w:cs="仿宋_GB2312"/>
          <w:sz w:val="28"/>
          <w:szCs w:val="28"/>
          <w:highlight w:val="none"/>
        </w:rPr>
        <w:t>要求项目负责学校加快进度，按期完成，将各项目实施情况纳入年终考核指标，进行考核。</w:t>
      </w:r>
    </w:p>
    <w:p w14:paraId="165AB83E">
      <w:pPr>
        <w:keepNext w:val="0"/>
        <w:keepLines w:val="0"/>
        <w:pageBreakBefore w:val="0"/>
        <w:widowControl/>
        <w:wordWrap/>
        <w:overflowPunct/>
        <w:topLinePunct w:val="0"/>
        <w:bidi w:val="0"/>
        <w:adjustRightInd w:val="0"/>
        <w:snapToGrid w:val="0"/>
        <w:spacing w:line="600" w:lineRule="exact"/>
        <w:ind w:firstLine="560"/>
        <w:jc w:val="left"/>
        <w:textAlignment w:val="auto"/>
        <w:outlineLvl w:val="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附件：</w:t>
      </w:r>
      <w:r>
        <w:rPr>
          <w:rFonts w:hint="eastAsia" w:ascii="仿宋_GB2312" w:hAnsi="仿宋_GB2312" w:eastAsia="仿宋_GB2312" w:cs="仿宋_GB2312"/>
          <w:color w:val="000000"/>
          <w:kern w:val="0"/>
          <w:sz w:val="28"/>
          <w:szCs w:val="28"/>
          <w:lang w:eastAsia="zh-CN"/>
        </w:rPr>
        <w:t>2024年</w:t>
      </w:r>
      <w:r>
        <w:rPr>
          <w:rFonts w:hint="eastAsia" w:ascii="仿宋_GB2312" w:hAnsi="仿宋_GB2312" w:eastAsia="仿宋_GB2312" w:cs="仿宋_GB2312"/>
          <w:color w:val="000000"/>
          <w:kern w:val="0"/>
          <w:sz w:val="28"/>
          <w:szCs w:val="28"/>
        </w:rPr>
        <w:t>度教育教学工作经费项目自评表</w:t>
      </w:r>
    </w:p>
    <w:p w14:paraId="3695EDF6">
      <w:pPr>
        <w:ind w:left="420" w:leftChars="200" w:firstLine="562" w:firstLineChars="200"/>
        <w:rPr>
          <w:rFonts w:hint="eastAsia" w:ascii="仿宋_GB2312" w:hAnsi="仿宋_GB2312" w:eastAsia="仿宋_GB2312" w:cs="仿宋_GB2312"/>
          <w:b/>
          <w:bCs/>
          <w:sz w:val="28"/>
          <w:szCs w:val="28"/>
        </w:rPr>
      </w:pPr>
    </w:p>
    <w:p w14:paraId="03EE1064">
      <w:pPr>
        <w:pStyle w:val="2"/>
        <w:rPr>
          <w:rFonts w:hint="eastAsia" w:ascii="仿宋_GB2312" w:hAnsi="仿宋_GB2312" w:eastAsia="仿宋_GB2312" w:cs="仿宋_GB2312"/>
          <w:b/>
          <w:bCs/>
          <w:sz w:val="28"/>
          <w:szCs w:val="28"/>
        </w:rPr>
      </w:pPr>
    </w:p>
    <w:p w14:paraId="4AB59725">
      <w:pPr>
        <w:pStyle w:val="2"/>
        <w:rPr>
          <w:rFonts w:hint="eastAsia" w:ascii="仿宋_GB2312" w:hAnsi="仿宋_GB2312" w:eastAsia="仿宋_GB2312" w:cs="仿宋_GB2312"/>
          <w:b/>
          <w:bCs/>
          <w:sz w:val="28"/>
          <w:szCs w:val="28"/>
        </w:rPr>
      </w:pPr>
    </w:p>
    <w:p w14:paraId="57A9F0E5">
      <w:pPr>
        <w:pStyle w:val="2"/>
        <w:rPr>
          <w:rFonts w:hint="eastAsia" w:ascii="仿宋_GB2312" w:hAnsi="仿宋_GB2312" w:eastAsia="仿宋_GB2312" w:cs="仿宋_GB2312"/>
          <w:b/>
          <w:bCs/>
          <w:sz w:val="28"/>
          <w:szCs w:val="28"/>
        </w:rPr>
      </w:pPr>
    </w:p>
    <w:p w14:paraId="031A7121">
      <w:pPr>
        <w:pStyle w:val="2"/>
        <w:rPr>
          <w:rFonts w:hint="eastAsia" w:ascii="仿宋_GB2312" w:hAnsi="仿宋_GB2312" w:eastAsia="仿宋_GB2312" w:cs="仿宋_GB2312"/>
          <w:b/>
          <w:bCs/>
          <w:sz w:val="28"/>
          <w:szCs w:val="28"/>
        </w:rPr>
      </w:pPr>
    </w:p>
    <w:p w14:paraId="56EB8C1D">
      <w:pPr>
        <w:pStyle w:val="2"/>
        <w:rPr>
          <w:rFonts w:hint="eastAsia" w:ascii="仿宋_GB2312" w:hAnsi="仿宋_GB2312" w:eastAsia="仿宋_GB2312" w:cs="仿宋_GB2312"/>
          <w:b/>
          <w:bCs/>
          <w:sz w:val="28"/>
          <w:szCs w:val="28"/>
        </w:rPr>
      </w:pPr>
    </w:p>
    <w:p w14:paraId="476288E8">
      <w:pPr>
        <w:ind w:left="420" w:leftChars="200"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二、佐证材料</w:t>
      </w:r>
    </w:p>
    <w:p w14:paraId="2DC97DA3">
      <w:pPr>
        <w:rPr>
          <w:rFonts w:hint="eastAsia" w:ascii="仿宋_GB2312" w:hAnsi="仿宋_GB2312" w:eastAsia="仿宋_GB2312" w:cs="仿宋_GB2312"/>
          <w:b/>
          <w:bCs/>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　（一）基本情况</w:t>
      </w:r>
    </w:p>
    <w:p w14:paraId="70A017C4">
      <w:pPr>
        <w:numPr>
          <w:ilvl w:val="0"/>
          <w:numId w:val="4"/>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项目立项原则</w:t>
      </w:r>
    </w:p>
    <w:p w14:paraId="77B57FB4">
      <w:pPr>
        <w:keepNext w:val="0"/>
        <w:keepLines w:val="0"/>
        <w:pageBreakBefore w:val="0"/>
        <w:wordWrap/>
        <w:overflowPunct/>
        <w:topLinePunct w:val="0"/>
        <w:bidi w:val="0"/>
        <w:adjustRightInd w:val="0"/>
        <w:snapToGrid w:val="0"/>
        <w:spacing w:line="600" w:lineRule="exact"/>
        <w:ind w:firstLine="560" w:firstLineChars="20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为了进一步落实对全区教育工作的领导和协调作用,落实各级的工作目标责任，建立符合我区教育的运行机制和各层面内部协作机制，分工协作，形成合力，整体推进我区教育工作的发展。</w:t>
      </w:r>
    </w:p>
    <w:p w14:paraId="72927C66">
      <w:pPr>
        <w:numPr>
          <w:ilvl w:val="0"/>
          <w:numId w:val="4"/>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简要概述项目资金情况    </w:t>
      </w:r>
    </w:p>
    <w:p w14:paraId="45B3AED2">
      <w:pPr>
        <w:ind w:firstLine="560"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sz w:val="28"/>
          <w:szCs w:val="28"/>
          <w:lang w:eastAsia="zh-CN"/>
        </w:rPr>
        <w:t>教育教学工作经费项目计划资金预算为</w:t>
      </w:r>
      <w:r>
        <w:rPr>
          <w:rFonts w:hint="eastAsia" w:ascii="仿宋_GB2312" w:hAnsi="仿宋_GB2312" w:eastAsia="仿宋_GB2312" w:cs="仿宋_GB2312"/>
          <w:sz w:val="28"/>
          <w:szCs w:val="28"/>
          <w:lang w:val="en-US" w:eastAsia="zh-CN"/>
        </w:rPr>
        <w:t>2,182.79</w:t>
      </w:r>
      <w:r>
        <w:rPr>
          <w:rFonts w:hint="eastAsia" w:ascii="仿宋_GB2312" w:hAnsi="仿宋_GB2312" w:eastAsia="仿宋_GB2312" w:cs="仿宋_GB2312"/>
          <w:sz w:val="28"/>
          <w:szCs w:val="28"/>
          <w:lang w:eastAsia="zh-CN"/>
        </w:rPr>
        <w:t>万元，</w:t>
      </w:r>
      <w:r>
        <w:rPr>
          <w:rFonts w:hint="eastAsia" w:ascii="仿宋_GB2312" w:hAnsi="仿宋_GB2312" w:eastAsia="仿宋_GB2312" w:cs="仿宋_GB2312"/>
          <w:color w:val="000000"/>
          <w:kern w:val="0"/>
          <w:sz w:val="28"/>
          <w:szCs w:val="28"/>
        </w:rPr>
        <w:t>保证学校</w:t>
      </w:r>
      <w:r>
        <w:rPr>
          <w:rFonts w:hint="eastAsia" w:ascii="仿宋_GB2312" w:hAnsi="仿宋_GB2312" w:eastAsia="仿宋_GB2312" w:cs="仿宋_GB2312"/>
          <w:color w:val="000000"/>
          <w:kern w:val="0"/>
          <w:sz w:val="28"/>
          <w:szCs w:val="28"/>
          <w:lang w:eastAsia="zh-CN"/>
        </w:rPr>
        <w:t>2024年</w:t>
      </w:r>
      <w:r>
        <w:rPr>
          <w:rFonts w:hint="eastAsia" w:ascii="仿宋_GB2312" w:hAnsi="仿宋_GB2312" w:eastAsia="仿宋_GB2312" w:cs="仿宋_GB2312"/>
          <w:color w:val="000000"/>
          <w:kern w:val="0"/>
          <w:sz w:val="28"/>
          <w:szCs w:val="28"/>
        </w:rPr>
        <w:t>教学活动正常运行，保障教职工基本生活</w:t>
      </w:r>
      <w:r>
        <w:rPr>
          <w:rFonts w:hint="eastAsia" w:ascii="仿宋_GB2312" w:hAnsi="仿宋_GB2312" w:eastAsia="仿宋_GB2312" w:cs="仿宋_GB2312"/>
          <w:sz w:val="28"/>
          <w:szCs w:val="28"/>
          <w:lang w:eastAsia="zh-CN"/>
        </w:rPr>
        <w:t>，截止至2024年12月31日，支付资金1,546.83万元。</w:t>
      </w: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　</w:t>
      </w:r>
    </w:p>
    <w:p w14:paraId="066246CB">
      <w:pPr>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（二）部门自评工作开展情况</w:t>
      </w:r>
    </w:p>
    <w:p w14:paraId="0A09F909">
      <w:pPr>
        <w:ind w:firstLine="64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我区于4月成立绩效评价工作小组，安排部署绩效评价工作，具体工作由财务科牵头，组织、协调和督促学校各科室落实此项工作，完成此次自评工作。</w:t>
      </w:r>
    </w:p>
    <w:p w14:paraId="0D50E3E0">
      <w:pPr>
        <w:ind w:firstLine="64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（三）绩效目标完成情况分析</w:t>
      </w:r>
    </w:p>
    <w:p w14:paraId="6DC458DB">
      <w:pPr>
        <w:numPr>
          <w:ilvl w:val="0"/>
          <w:numId w:val="5"/>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预算执行情况分析</w:t>
      </w:r>
    </w:p>
    <w:p w14:paraId="10798AD3">
      <w:pPr>
        <w:pStyle w:val="2"/>
        <w:ind w:firstLine="560" w:firstLineChars="200"/>
        <w:jc w:val="lef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教育教学工作经费项目</w:t>
      </w:r>
      <w:r>
        <w:rPr>
          <w:rFonts w:hint="eastAsia" w:ascii="仿宋_GB2312" w:hAnsi="仿宋_GB2312" w:eastAsia="仿宋_GB2312" w:cs="仿宋_GB2312"/>
          <w:sz w:val="28"/>
          <w:szCs w:val="28"/>
        </w:rPr>
        <w:t>资金预算为</w:t>
      </w:r>
      <w:r>
        <w:rPr>
          <w:rFonts w:hint="eastAsia" w:ascii="仿宋_GB2312" w:hAnsi="仿宋_GB2312" w:eastAsia="仿宋_GB2312" w:cs="仿宋_GB2312"/>
          <w:sz w:val="28"/>
          <w:szCs w:val="28"/>
          <w:lang w:eastAsia="zh-CN"/>
        </w:rPr>
        <w:t>2,182.79</w:t>
      </w:r>
      <w:r>
        <w:rPr>
          <w:rFonts w:hint="eastAsia" w:ascii="仿宋_GB2312" w:hAnsi="仿宋_GB2312" w:eastAsia="仿宋_GB2312" w:cs="仿宋_GB2312"/>
          <w:sz w:val="28"/>
          <w:szCs w:val="28"/>
        </w:rPr>
        <w:t>万元，截止至</w:t>
      </w:r>
      <w:r>
        <w:rPr>
          <w:rFonts w:hint="eastAsia" w:ascii="仿宋_GB2312" w:hAnsi="仿宋_GB2312" w:eastAsia="仿宋_GB2312" w:cs="仿宋_GB2312"/>
          <w:sz w:val="28"/>
          <w:szCs w:val="28"/>
          <w:lang w:eastAsia="zh-CN"/>
        </w:rPr>
        <w:t>2024年</w:t>
      </w:r>
      <w:r>
        <w:rPr>
          <w:rFonts w:hint="eastAsia" w:ascii="仿宋_GB2312" w:hAnsi="仿宋_GB2312" w:eastAsia="仿宋_GB2312" w:cs="仿宋_GB2312"/>
          <w:sz w:val="28"/>
          <w:szCs w:val="28"/>
        </w:rPr>
        <w:t>12月31日，支付资金</w:t>
      </w:r>
      <w:r>
        <w:rPr>
          <w:rFonts w:hint="eastAsia" w:ascii="仿宋_GB2312" w:hAnsi="仿宋_GB2312" w:eastAsia="仿宋_GB2312" w:cs="仿宋_GB2312"/>
          <w:sz w:val="28"/>
          <w:szCs w:val="28"/>
          <w:lang w:eastAsia="zh-CN"/>
        </w:rPr>
        <w:t>1,546.83</w:t>
      </w:r>
      <w:r>
        <w:rPr>
          <w:rFonts w:hint="eastAsia" w:ascii="仿宋_GB2312" w:hAnsi="仿宋_GB2312" w:eastAsia="仿宋_GB2312" w:cs="仿宋_GB2312"/>
          <w:sz w:val="28"/>
          <w:szCs w:val="28"/>
        </w:rPr>
        <w:t>万元，资金执行率</w:t>
      </w:r>
      <w:r>
        <w:rPr>
          <w:rFonts w:hint="eastAsia" w:ascii="仿宋_GB2312" w:hAnsi="仿宋_GB2312" w:eastAsia="仿宋_GB2312" w:cs="仿宋_GB2312"/>
          <w:sz w:val="28"/>
          <w:szCs w:val="28"/>
          <w:lang w:val="en-US" w:eastAsia="zh-CN"/>
        </w:rPr>
        <w:t>70.86%</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主要原因项目请款进度较慢。</w:t>
      </w:r>
    </w:p>
    <w:p w14:paraId="1998B15D">
      <w:pPr>
        <w:numPr>
          <w:ilvl w:val="0"/>
          <w:numId w:val="5"/>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绩效目标完成情况分析</w:t>
      </w:r>
    </w:p>
    <w:p w14:paraId="0627EFD3">
      <w:pPr>
        <w:numPr>
          <w:ilvl w:val="0"/>
          <w:numId w:val="0"/>
        </w:numPr>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成本指标完成情况</w:t>
      </w:r>
    </w:p>
    <w:p w14:paraId="42010733">
      <w:pPr>
        <w:pStyle w:val="2"/>
        <w:rPr>
          <w:rFonts w:hint="default"/>
          <w:lang w:val="en-US" w:eastAsia="zh-CN"/>
        </w:rPr>
      </w:pPr>
      <w:r>
        <w:rPr>
          <w:rFonts w:hint="eastAsia"/>
          <w:lang w:val="en-US" w:eastAsia="zh-CN"/>
        </w:rPr>
        <w:t xml:space="preserve">    </w:t>
      </w:r>
      <w:r>
        <w:rPr>
          <w:rFonts w:hint="eastAsia" w:ascii="仿宋_GB2312" w:hAnsi="仿宋_GB2312" w:eastAsia="仿宋_GB2312" w:cs="仿宋_GB2312"/>
          <w:sz w:val="28"/>
          <w:szCs w:val="28"/>
          <w:lang w:val="en-US" w:eastAsia="zh-CN"/>
        </w:rPr>
        <w:t>指标一：年初目标值按上级拨付要求执行，实际按上级拨付要求执行，完成指标值。</w:t>
      </w:r>
    </w:p>
    <w:p w14:paraId="20C83F0A">
      <w:pPr>
        <w:numPr>
          <w:ilvl w:val="0"/>
          <w:numId w:val="0"/>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产出指标完成情况分析。</w:t>
      </w:r>
    </w:p>
    <w:p w14:paraId="7353BCCB">
      <w:pPr>
        <w:numPr>
          <w:ilvl w:val="0"/>
          <w:numId w:val="0"/>
        </w:numPr>
        <w:ind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指标二：创建“平安校园”示范校数量年初目标值12所，实际创建“平安校园”示范校数量12所，完成指标值。</w:t>
      </w:r>
    </w:p>
    <w:p w14:paraId="4CFF122A">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指标三：监督审计幼儿园单位数量年初目标值90个，实际监督审计幼儿园单位数量90个，完成指标值。</w:t>
      </w:r>
    </w:p>
    <w:p w14:paraId="2265BF25">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指标四：离任审计校长园长数年初目标值29个，实际离任审计校长园长数29个，完成指标值。</w:t>
      </w:r>
    </w:p>
    <w:p w14:paraId="071C4E35">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指标五：完成名师工作室基地年初目标值100%，实际完成名师工作室基地100%，完成指标值。</w:t>
      </w:r>
    </w:p>
    <w:p w14:paraId="0DF07940">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指标六：引进名师数年初目标值100%，实际引进名师数100%，完成指标值。</w:t>
      </w:r>
    </w:p>
    <w:p w14:paraId="3E66F9C4">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指标七：评估幼儿园数量年初目标值10所，实际评估幼儿园数量10所，完成指标值。</w:t>
      </w:r>
    </w:p>
    <w:p w14:paraId="5DB12F25">
      <w:pPr>
        <w:ind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指标八：一园一特色跟岗指导园所数年初目标值77所，实际一园一特色跟岗指导园所数77所，完成指标值。</w:t>
      </w:r>
    </w:p>
    <w:p w14:paraId="2D69DCEF">
      <w:pPr>
        <w:ind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指标九：完成各类招考工作正常运行次数年初目标值9次，实际完成各类招考工作正常运行次数9次，完成指标值。</w:t>
      </w:r>
    </w:p>
    <w:p w14:paraId="130E1FA3">
      <w:pPr>
        <w:ind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指标十：保证考场正常运行数量年初目标值370个，实际保证考场正常运行数量370个，完成指标值。</w:t>
      </w:r>
    </w:p>
    <w:p w14:paraId="58FD755D">
      <w:pPr>
        <w:ind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指标十一：校园足球活动开展学校数年初目标值28所，实际校园足球活动开展学校数28所，完成指标值。</w:t>
      </w:r>
    </w:p>
    <w:p w14:paraId="7162EFE2">
      <w:pPr>
        <w:ind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指标十二：园长培训合格率年初目标值98%，实际园长培训合格率98%，完成指标值。</w:t>
      </w:r>
    </w:p>
    <w:p w14:paraId="0024A923">
      <w:pPr>
        <w:ind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指标十三：审计覆盖率年初目标值100%，实际审计覆盖率100%，完成指标值。</w:t>
      </w:r>
    </w:p>
    <w:p w14:paraId="6634A854">
      <w:pPr>
        <w:ind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指标十四：人才引进无责任事故率年初目标值100%，实际人才引进无责任事故率100%，完成指标值。</w:t>
      </w:r>
    </w:p>
    <w:p w14:paraId="0EC31559">
      <w:pPr>
        <w:ind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指标十五：骨干教师培训合格率年初目标值98%，实际骨干教师培训合格率98%，完成指标值。</w:t>
      </w:r>
    </w:p>
    <w:p w14:paraId="3CE28D61">
      <w:pPr>
        <w:ind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指标十六：保质保量完成率年初目标值100%，实际保质保量完成率100%，完成指标值。</w:t>
      </w:r>
    </w:p>
    <w:p w14:paraId="17812DF5">
      <w:pPr>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指标十七：招考工作正常运行年初目标值正常运行，实际招考工作正常运行，完成指标值。</w:t>
      </w:r>
    </w:p>
    <w:p w14:paraId="57817BBB">
      <w:pPr>
        <w:pStyle w:val="2"/>
        <w:ind w:firstLine="560" w:firstLineChars="200"/>
        <w:rPr>
          <w:rFonts w:hint="default"/>
          <w:lang w:val="en-US"/>
        </w:rPr>
      </w:pPr>
      <w:r>
        <w:rPr>
          <w:rFonts w:hint="eastAsia" w:ascii="仿宋_GB2312" w:hAnsi="仿宋_GB2312" w:eastAsia="仿宋_GB2312" w:cs="仿宋_GB2312"/>
          <w:sz w:val="28"/>
          <w:szCs w:val="28"/>
          <w:lang w:val="en-US" w:eastAsia="zh-CN"/>
        </w:rPr>
        <w:t>指标十八：突发性卫生公共事件年初目标值0，实际突发性卫生公共事件0，完成指标值。</w:t>
      </w:r>
    </w:p>
    <w:p w14:paraId="324E5A0F">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（2）效益指标完成情况分析。</w:t>
      </w:r>
    </w:p>
    <w:p w14:paraId="455AE2A8">
      <w:pPr>
        <w:ind w:firstLine="560" w:firstLineChars="200"/>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val="en-US" w:eastAsia="zh-CN"/>
        </w:rPr>
        <w:t>指标十九：社会效益指标完成情况，维护教育系统平安稳定，完成指标值</w:t>
      </w:r>
      <w:r>
        <w:rPr>
          <w:rFonts w:hint="default" w:ascii="仿宋_GB2312" w:hAnsi="仿宋_GB2312" w:eastAsia="仿宋_GB2312" w:cs="仿宋_GB2312"/>
          <w:kern w:val="2"/>
          <w:sz w:val="28"/>
          <w:szCs w:val="28"/>
          <w:lang w:val="en-US" w:eastAsia="zh-CN" w:bidi="ar-SA"/>
        </w:rPr>
        <w:t>。</w:t>
      </w:r>
    </w:p>
    <w:p w14:paraId="12C1C033">
      <w:pPr>
        <w:ind w:firstLine="560" w:firstLineChars="200"/>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val="en-US" w:eastAsia="zh-CN"/>
        </w:rPr>
        <w:t>指标二十：社会效益指标完成情况，完善干部管理机制，规范干部行为，完成指标值</w:t>
      </w:r>
      <w:r>
        <w:rPr>
          <w:rFonts w:hint="default" w:ascii="仿宋_GB2312" w:hAnsi="仿宋_GB2312" w:eastAsia="仿宋_GB2312" w:cs="仿宋_GB2312"/>
          <w:kern w:val="2"/>
          <w:sz w:val="28"/>
          <w:szCs w:val="28"/>
          <w:lang w:val="en-US" w:eastAsia="zh-CN" w:bidi="ar-SA"/>
        </w:rPr>
        <w:t>。</w:t>
      </w:r>
    </w:p>
    <w:p w14:paraId="5705C4D4">
      <w:pPr>
        <w:ind w:firstLine="560" w:firstLineChars="200"/>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val="en-US" w:eastAsia="zh-CN"/>
        </w:rPr>
        <w:t>指标二十一：社会效益指标完成情况，提升完提升名师工作室示范效应，完成指标值</w:t>
      </w:r>
      <w:r>
        <w:rPr>
          <w:rFonts w:hint="default" w:ascii="仿宋_GB2312" w:hAnsi="仿宋_GB2312" w:eastAsia="仿宋_GB2312" w:cs="仿宋_GB2312"/>
          <w:kern w:val="2"/>
          <w:sz w:val="28"/>
          <w:szCs w:val="28"/>
          <w:lang w:val="en-US" w:eastAsia="zh-CN" w:bidi="ar-SA"/>
        </w:rPr>
        <w:t>。</w:t>
      </w:r>
    </w:p>
    <w:p w14:paraId="418DBAC6">
      <w:pPr>
        <w:pStyle w:val="2"/>
        <w:ind w:firstLine="560" w:firstLineChars="200"/>
        <w:rPr>
          <w:rFonts w:hint="default"/>
          <w:lang w:val="en-US" w:eastAsia="zh-CN"/>
        </w:rPr>
      </w:pPr>
      <w:r>
        <w:rPr>
          <w:rFonts w:hint="eastAsia" w:ascii="仿宋_GB2312" w:hAnsi="仿宋_GB2312" w:eastAsia="仿宋_GB2312" w:cs="仿宋_GB2312"/>
          <w:kern w:val="2"/>
          <w:sz w:val="28"/>
          <w:szCs w:val="28"/>
          <w:lang w:val="en-US" w:eastAsia="zh-CN" w:bidi="ar-SA"/>
        </w:rPr>
        <w:t>指标二十二：</w:t>
      </w:r>
      <w:r>
        <w:rPr>
          <w:rFonts w:hint="eastAsia" w:ascii="仿宋_GB2312" w:hAnsi="仿宋_GB2312" w:eastAsia="仿宋_GB2312" w:cs="仿宋_GB2312"/>
          <w:sz w:val="28"/>
          <w:szCs w:val="28"/>
          <w:lang w:val="en-US" w:eastAsia="zh-CN"/>
        </w:rPr>
        <w:t>社会效益指标完成情况，</w:t>
      </w:r>
      <w:r>
        <w:rPr>
          <w:rFonts w:hint="eastAsia" w:ascii="仿宋_GB2312" w:hAnsi="仿宋_GB2312" w:eastAsia="仿宋_GB2312" w:cs="仿宋_GB2312"/>
          <w:kern w:val="2"/>
          <w:sz w:val="28"/>
          <w:szCs w:val="28"/>
          <w:lang w:val="en-US" w:eastAsia="zh-CN" w:bidi="ar-SA"/>
        </w:rPr>
        <w:t>幼儿园办园行为规范逐渐提升，完成指标值。</w:t>
      </w:r>
      <w:r>
        <w:rPr>
          <w:rFonts w:hint="eastAsia" w:ascii="仿宋_GB2312" w:hAnsi="仿宋_GB2312" w:eastAsia="仿宋_GB2312" w:cs="仿宋_GB2312"/>
          <w:kern w:val="2"/>
          <w:sz w:val="28"/>
          <w:szCs w:val="28"/>
          <w:lang w:val="en-US" w:eastAsia="zh-CN" w:bidi="ar-SA"/>
        </w:rPr>
        <w:tab/>
      </w:r>
    </w:p>
    <w:p w14:paraId="756A0C8A">
      <w:pPr>
        <w:pStyle w:val="2"/>
        <w:ind w:firstLine="560" w:firstLineChars="200"/>
        <w:rPr>
          <w:rFonts w:hint="default"/>
          <w:lang w:val="en-US" w:eastAsia="zh-CN"/>
        </w:rPr>
      </w:pPr>
      <w:r>
        <w:rPr>
          <w:rFonts w:hint="eastAsia" w:ascii="仿宋_GB2312" w:hAnsi="仿宋_GB2312" w:eastAsia="仿宋_GB2312" w:cs="仿宋_GB2312"/>
          <w:kern w:val="2"/>
          <w:sz w:val="28"/>
          <w:szCs w:val="28"/>
          <w:lang w:val="en-US" w:eastAsia="zh-CN" w:bidi="ar-SA"/>
        </w:rPr>
        <w:t>指标二十三：</w:t>
      </w:r>
      <w:r>
        <w:rPr>
          <w:rFonts w:hint="eastAsia" w:ascii="仿宋_GB2312" w:hAnsi="仿宋_GB2312" w:eastAsia="仿宋_GB2312" w:cs="仿宋_GB2312"/>
          <w:sz w:val="28"/>
          <w:szCs w:val="28"/>
          <w:lang w:val="en-US" w:eastAsia="zh-CN"/>
        </w:rPr>
        <w:t>社会效益指标完成情况，</w:t>
      </w:r>
      <w:r>
        <w:rPr>
          <w:rFonts w:hint="eastAsia" w:ascii="仿宋_GB2312" w:hAnsi="仿宋_GB2312" w:eastAsia="仿宋_GB2312" w:cs="仿宋_GB2312"/>
          <w:kern w:val="2"/>
          <w:sz w:val="28"/>
          <w:szCs w:val="28"/>
          <w:lang w:val="en-US" w:eastAsia="zh-CN" w:bidi="ar-SA"/>
        </w:rPr>
        <w:t>提高公益普惠性学前教育资源覆盖率，完成指标值。</w:t>
      </w:r>
      <w:r>
        <w:rPr>
          <w:rFonts w:hint="eastAsia" w:ascii="仿宋_GB2312" w:hAnsi="仿宋_GB2312" w:eastAsia="仿宋_GB2312" w:cs="仿宋_GB2312"/>
          <w:kern w:val="2"/>
          <w:sz w:val="28"/>
          <w:szCs w:val="28"/>
          <w:lang w:val="en-US" w:eastAsia="zh-CN" w:bidi="ar-SA"/>
        </w:rPr>
        <w:tab/>
      </w:r>
    </w:p>
    <w:p w14:paraId="61DA2E7F">
      <w:pPr>
        <w:pStyle w:val="2"/>
        <w:rPr>
          <w:rFonts w:hint="default"/>
          <w:lang w:val="en-US" w:eastAsia="zh-CN"/>
        </w:rPr>
      </w:pPr>
      <w:r>
        <w:rPr>
          <w:rFonts w:hint="eastAsia"/>
          <w:lang w:val="en-US" w:eastAsia="zh-CN"/>
        </w:rPr>
        <w:t xml:space="preserve">   </w:t>
      </w:r>
      <w:r>
        <w:rPr>
          <w:rFonts w:hint="eastAsia" w:ascii="仿宋_GB2312" w:hAnsi="仿宋_GB2312" w:eastAsia="仿宋_GB2312" w:cs="仿宋_GB2312"/>
          <w:kern w:val="2"/>
          <w:sz w:val="28"/>
          <w:szCs w:val="28"/>
          <w:lang w:val="en-US" w:eastAsia="zh-CN" w:bidi="ar-SA"/>
        </w:rPr>
        <w:t>指标二十四：</w:t>
      </w:r>
      <w:r>
        <w:rPr>
          <w:rFonts w:hint="eastAsia" w:ascii="仿宋_GB2312" w:hAnsi="仿宋_GB2312" w:eastAsia="仿宋_GB2312" w:cs="仿宋_GB2312"/>
          <w:sz w:val="28"/>
          <w:szCs w:val="28"/>
          <w:lang w:val="en-US" w:eastAsia="zh-CN"/>
        </w:rPr>
        <w:t>社会效益指标完成情况，</w:t>
      </w:r>
      <w:r>
        <w:rPr>
          <w:rFonts w:hint="eastAsia" w:ascii="仿宋_GB2312" w:hAnsi="仿宋_GB2312" w:eastAsia="仿宋_GB2312" w:cs="仿宋_GB2312"/>
          <w:kern w:val="2"/>
          <w:sz w:val="28"/>
          <w:szCs w:val="28"/>
          <w:lang w:val="en-US" w:eastAsia="zh-CN" w:bidi="ar-SA"/>
        </w:rPr>
        <w:t>促进各级各类教育考试工作正常进行，完成指标值。</w:t>
      </w:r>
      <w:r>
        <w:rPr>
          <w:rFonts w:hint="eastAsia" w:ascii="仿宋_GB2312" w:hAnsi="仿宋_GB2312" w:eastAsia="仿宋_GB2312" w:cs="仿宋_GB2312"/>
          <w:kern w:val="2"/>
          <w:sz w:val="28"/>
          <w:szCs w:val="28"/>
          <w:lang w:val="en-US" w:eastAsia="zh-CN" w:bidi="ar-SA"/>
        </w:rPr>
        <w:tab/>
      </w:r>
    </w:p>
    <w:p w14:paraId="3E878054">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（3）满意度指标完成情况分析。</w:t>
      </w:r>
    </w:p>
    <w:p w14:paraId="1F2693EC">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教师的满意度目标值为90%，实际满意度为95%。</w:t>
      </w:r>
    </w:p>
    <w:p w14:paraId="31B6AF9B">
      <w:pPr>
        <w:ind w:firstLine="64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（四）上年度部门自评结果应用情况</w:t>
      </w:r>
    </w:p>
    <w:p w14:paraId="05DF5731">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根据上年度部门自评结果分析执行未完成原因，及时清理项目资金，结合本年度预算情况，要求相关单位按时高效完成项目，纳入年度考核评价范围。</w:t>
      </w:r>
    </w:p>
    <w:p w14:paraId="3B68FA7C">
      <w:pPr>
        <w:ind w:firstLine="64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（五）其他佐证材料</w:t>
      </w:r>
    </w:p>
    <w:p w14:paraId="30B4A22B">
      <w:pPr>
        <w:pStyle w:val="2"/>
        <w:ind w:firstLine="840" w:firstLineChars="3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无。</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FE13D">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72DEC1">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472DEC1">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441E8C"/>
    <w:multiLevelType w:val="singleLevel"/>
    <w:tmpl w:val="D7441E8C"/>
    <w:lvl w:ilvl="0" w:tentative="0">
      <w:start w:val="1"/>
      <w:numFmt w:val="decimal"/>
      <w:suff w:val="nothing"/>
      <w:lvlText w:val="%1．"/>
      <w:lvlJc w:val="left"/>
      <w:pPr>
        <w:ind w:left="0" w:firstLine="400"/>
      </w:pPr>
      <w:rPr>
        <w:rFonts w:hint="default"/>
      </w:rPr>
    </w:lvl>
  </w:abstractNum>
  <w:abstractNum w:abstractNumId="1">
    <w:nsid w:val="42ECAAF8"/>
    <w:multiLevelType w:val="singleLevel"/>
    <w:tmpl w:val="42ECAAF8"/>
    <w:lvl w:ilvl="0" w:tentative="0">
      <w:start w:val="1"/>
      <w:numFmt w:val="chineseCounting"/>
      <w:suff w:val="nothing"/>
      <w:lvlText w:val="%1、"/>
      <w:lvlJc w:val="left"/>
      <w:pPr>
        <w:ind w:left="0" w:firstLine="420"/>
      </w:pPr>
      <w:rPr>
        <w:rFonts w:hint="eastAsia"/>
      </w:rPr>
    </w:lvl>
  </w:abstractNum>
  <w:abstractNum w:abstractNumId="2">
    <w:nsid w:val="4301918C"/>
    <w:multiLevelType w:val="singleLevel"/>
    <w:tmpl w:val="4301918C"/>
    <w:lvl w:ilvl="0" w:tentative="0">
      <w:start w:val="1"/>
      <w:numFmt w:val="chineseCounting"/>
      <w:suff w:val="nothing"/>
      <w:lvlText w:val="（%1）"/>
      <w:lvlJc w:val="left"/>
      <w:pPr>
        <w:ind w:left="0" w:firstLine="420"/>
      </w:pPr>
      <w:rPr>
        <w:rFonts w:hint="eastAsia"/>
      </w:rPr>
    </w:lvl>
  </w:abstractNum>
  <w:abstractNum w:abstractNumId="3">
    <w:nsid w:val="6EB1F773"/>
    <w:multiLevelType w:val="singleLevel"/>
    <w:tmpl w:val="6EB1F773"/>
    <w:lvl w:ilvl="0" w:tentative="0">
      <w:start w:val="1"/>
      <w:numFmt w:val="decimal"/>
      <w:suff w:val="nothing"/>
      <w:lvlText w:val="%1．"/>
      <w:lvlJc w:val="left"/>
      <w:pPr>
        <w:ind w:left="0" w:firstLine="400"/>
      </w:pPr>
      <w:rPr>
        <w:rFonts w:hint="default"/>
      </w:rPr>
    </w:lvl>
  </w:abstractNum>
  <w:abstractNum w:abstractNumId="4">
    <w:nsid w:val="74ED072D"/>
    <w:multiLevelType w:val="singleLevel"/>
    <w:tmpl w:val="74ED072D"/>
    <w:lvl w:ilvl="0" w:tentative="0">
      <w:start w:val="1"/>
      <w:numFmt w:val="decimal"/>
      <w:suff w:val="nothing"/>
      <w:lvlText w:val="%1．"/>
      <w:lvlJc w:val="left"/>
      <w:pPr>
        <w:ind w:left="0" w:firstLine="400"/>
      </w:pPr>
      <w:rPr>
        <w:rFont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E89"/>
    <w:rsid w:val="00165D1E"/>
    <w:rsid w:val="00205718"/>
    <w:rsid w:val="00546E89"/>
    <w:rsid w:val="00EC2FD0"/>
    <w:rsid w:val="01633E9B"/>
    <w:rsid w:val="01C27131"/>
    <w:rsid w:val="0293679B"/>
    <w:rsid w:val="02AC03F6"/>
    <w:rsid w:val="02DC526B"/>
    <w:rsid w:val="02F6238C"/>
    <w:rsid w:val="033A79DF"/>
    <w:rsid w:val="0341020B"/>
    <w:rsid w:val="04BE2226"/>
    <w:rsid w:val="050673A1"/>
    <w:rsid w:val="069102FF"/>
    <w:rsid w:val="07334F92"/>
    <w:rsid w:val="07566D94"/>
    <w:rsid w:val="07B55AA1"/>
    <w:rsid w:val="081C46E0"/>
    <w:rsid w:val="083E2F6B"/>
    <w:rsid w:val="08FD711B"/>
    <w:rsid w:val="093A1985"/>
    <w:rsid w:val="09402FD4"/>
    <w:rsid w:val="096B58B7"/>
    <w:rsid w:val="099E3CC2"/>
    <w:rsid w:val="09CB4E1B"/>
    <w:rsid w:val="0AAC68B2"/>
    <w:rsid w:val="0AEF054D"/>
    <w:rsid w:val="0B1F502D"/>
    <w:rsid w:val="0B4765DB"/>
    <w:rsid w:val="0BAB55F5"/>
    <w:rsid w:val="0BC415A1"/>
    <w:rsid w:val="0BF61E30"/>
    <w:rsid w:val="0C04014D"/>
    <w:rsid w:val="0D0522AA"/>
    <w:rsid w:val="0D8B7D59"/>
    <w:rsid w:val="0E17263D"/>
    <w:rsid w:val="0E4114E6"/>
    <w:rsid w:val="0EA53D44"/>
    <w:rsid w:val="0EAD3364"/>
    <w:rsid w:val="0F077464"/>
    <w:rsid w:val="0F146B51"/>
    <w:rsid w:val="0F303C0A"/>
    <w:rsid w:val="1120018B"/>
    <w:rsid w:val="11494E5B"/>
    <w:rsid w:val="13225AEC"/>
    <w:rsid w:val="14325230"/>
    <w:rsid w:val="162D5183"/>
    <w:rsid w:val="166030AE"/>
    <w:rsid w:val="166F63E1"/>
    <w:rsid w:val="16F85288"/>
    <w:rsid w:val="17EE26CC"/>
    <w:rsid w:val="18EF453A"/>
    <w:rsid w:val="192D17D6"/>
    <w:rsid w:val="19B724AE"/>
    <w:rsid w:val="1A6D5FE4"/>
    <w:rsid w:val="1A8F347E"/>
    <w:rsid w:val="1B067AF5"/>
    <w:rsid w:val="1C0041F8"/>
    <w:rsid w:val="1C9571A6"/>
    <w:rsid w:val="1CFA3821"/>
    <w:rsid w:val="1D0936F0"/>
    <w:rsid w:val="1DC1582E"/>
    <w:rsid w:val="1DEA1DF0"/>
    <w:rsid w:val="1F1308A6"/>
    <w:rsid w:val="1FD70301"/>
    <w:rsid w:val="219E4FCF"/>
    <w:rsid w:val="21B51920"/>
    <w:rsid w:val="21C25F42"/>
    <w:rsid w:val="21D226CB"/>
    <w:rsid w:val="228B4AA8"/>
    <w:rsid w:val="23706277"/>
    <w:rsid w:val="23AF4E20"/>
    <w:rsid w:val="242172FF"/>
    <w:rsid w:val="24ED67AC"/>
    <w:rsid w:val="252A1741"/>
    <w:rsid w:val="259B0AB8"/>
    <w:rsid w:val="264D66A7"/>
    <w:rsid w:val="26D9303E"/>
    <w:rsid w:val="2766547C"/>
    <w:rsid w:val="27A51DDD"/>
    <w:rsid w:val="28CB1C8A"/>
    <w:rsid w:val="29074259"/>
    <w:rsid w:val="298630D3"/>
    <w:rsid w:val="2B194483"/>
    <w:rsid w:val="2BCA6741"/>
    <w:rsid w:val="2C2557E2"/>
    <w:rsid w:val="2C3A452D"/>
    <w:rsid w:val="2C7106F5"/>
    <w:rsid w:val="2D3E4451"/>
    <w:rsid w:val="2D4B35F1"/>
    <w:rsid w:val="2EF35FAE"/>
    <w:rsid w:val="2F0320F2"/>
    <w:rsid w:val="2FCA6D0F"/>
    <w:rsid w:val="2FF40230"/>
    <w:rsid w:val="301B4208"/>
    <w:rsid w:val="3088542C"/>
    <w:rsid w:val="31674EBC"/>
    <w:rsid w:val="317F3947"/>
    <w:rsid w:val="3199610A"/>
    <w:rsid w:val="31E00349"/>
    <w:rsid w:val="32171FB4"/>
    <w:rsid w:val="32983567"/>
    <w:rsid w:val="32B37F2E"/>
    <w:rsid w:val="33921C81"/>
    <w:rsid w:val="344659D8"/>
    <w:rsid w:val="34645984"/>
    <w:rsid w:val="346B43B7"/>
    <w:rsid w:val="34D86511"/>
    <w:rsid w:val="351B5387"/>
    <w:rsid w:val="36002C84"/>
    <w:rsid w:val="361B6516"/>
    <w:rsid w:val="36723C5D"/>
    <w:rsid w:val="37B254F5"/>
    <w:rsid w:val="37F05781"/>
    <w:rsid w:val="3954623F"/>
    <w:rsid w:val="39627BDD"/>
    <w:rsid w:val="399A7B6B"/>
    <w:rsid w:val="39BD781D"/>
    <w:rsid w:val="3AB64A60"/>
    <w:rsid w:val="3ACA4067"/>
    <w:rsid w:val="3B000616"/>
    <w:rsid w:val="3BF028E1"/>
    <w:rsid w:val="3C24785E"/>
    <w:rsid w:val="3C5502A8"/>
    <w:rsid w:val="3CB72D11"/>
    <w:rsid w:val="3EA047B0"/>
    <w:rsid w:val="3F9034DC"/>
    <w:rsid w:val="402B500F"/>
    <w:rsid w:val="40D45C40"/>
    <w:rsid w:val="41076E81"/>
    <w:rsid w:val="4134259B"/>
    <w:rsid w:val="41730605"/>
    <w:rsid w:val="41F87A42"/>
    <w:rsid w:val="422E312E"/>
    <w:rsid w:val="42342E23"/>
    <w:rsid w:val="42846A55"/>
    <w:rsid w:val="42D30DE6"/>
    <w:rsid w:val="431953C5"/>
    <w:rsid w:val="43E336B7"/>
    <w:rsid w:val="44C9263C"/>
    <w:rsid w:val="46860901"/>
    <w:rsid w:val="47CC7CA6"/>
    <w:rsid w:val="47E55A99"/>
    <w:rsid w:val="48AC1250"/>
    <w:rsid w:val="494C0C70"/>
    <w:rsid w:val="4A38723F"/>
    <w:rsid w:val="4B261C18"/>
    <w:rsid w:val="4C66146D"/>
    <w:rsid w:val="4DC930F0"/>
    <w:rsid w:val="4E5B5AFC"/>
    <w:rsid w:val="50A908EB"/>
    <w:rsid w:val="527F02D6"/>
    <w:rsid w:val="52A01E26"/>
    <w:rsid w:val="52A94382"/>
    <w:rsid w:val="531D5224"/>
    <w:rsid w:val="53BB56C6"/>
    <w:rsid w:val="54152739"/>
    <w:rsid w:val="55D14582"/>
    <w:rsid w:val="55F679E6"/>
    <w:rsid w:val="56DA4832"/>
    <w:rsid w:val="58122CBD"/>
    <w:rsid w:val="586A2EAE"/>
    <w:rsid w:val="58A8162D"/>
    <w:rsid w:val="5A3B7828"/>
    <w:rsid w:val="5A985A23"/>
    <w:rsid w:val="5AD36B10"/>
    <w:rsid w:val="5B984D38"/>
    <w:rsid w:val="5C601F95"/>
    <w:rsid w:val="5CBB1931"/>
    <w:rsid w:val="5CD27C4F"/>
    <w:rsid w:val="5D662F16"/>
    <w:rsid w:val="5E01470F"/>
    <w:rsid w:val="5E491C46"/>
    <w:rsid w:val="5E8C7702"/>
    <w:rsid w:val="5EBA07F4"/>
    <w:rsid w:val="5F254C81"/>
    <w:rsid w:val="608A1A1F"/>
    <w:rsid w:val="619A699C"/>
    <w:rsid w:val="61AF4B1D"/>
    <w:rsid w:val="61F6013B"/>
    <w:rsid w:val="62145A44"/>
    <w:rsid w:val="62441838"/>
    <w:rsid w:val="62A23F56"/>
    <w:rsid w:val="63B31127"/>
    <w:rsid w:val="649F04AA"/>
    <w:rsid w:val="65537994"/>
    <w:rsid w:val="66D56B87"/>
    <w:rsid w:val="67220C03"/>
    <w:rsid w:val="6759214B"/>
    <w:rsid w:val="676A4B85"/>
    <w:rsid w:val="67AC2C38"/>
    <w:rsid w:val="67D0435B"/>
    <w:rsid w:val="69BD10B7"/>
    <w:rsid w:val="69F735DF"/>
    <w:rsid w:val="6A041799"/>
    <w:rsid w:val="6A4B4EE6"/>
    <w:rsid w:val="6ABC504E"/>
    <w:rsid w:val="6B9E0E3B"/>
    <w:rsid w:val="6BD954CC"/>
    <w:rsid w:val="6C384A25"/>
    <w:rsid w:val="6CC5548B"/>
    <w:rsid w:val="6DAF2A8F"/>
    <w:rsid w:val="6DCF13B9"/>
    <w:rsid w:val="6EE85353"/>
    <w:rsid w:val="70BB1F20"/>
    <w:rsid w:val="70E859E2"/>
    <w:rsid w:val="737C12EE"/>
    <w:rsid w:val="73884C42"/>
    <w:rsid w:val="73B76B77"/>
    <w:rsid w:val="73C3551C"/>
    <w:rsid w:val="73CA0F09"/>
    <w:rsid w:val="741D75F6"/>
    <w:rsid w:val="745C5532"/>
    <w:rsid w:val="75706FDE"/>
    <w:rsid w:val="75720710"/>
    <w:rsid w:val="758B2BE0"/>
    <w:rsid w:val="75A629FF"/>
    <w:rsid w:val="75E34603"/>
    <w:rsid w:val="770E2A96"/>
    <w:rsid w:val="77F74133"/>
    <w:rsid w:val="7A554B80"/>
    <w:rsid w:val="7A576CDC"/>
    <w:rsid w:val="7ADC3BD5"/>
    <w:rsid w:val="7BAD388E"/>
    <w:rsid w:val="7BC57811"/>
    <w:rsid w:val="7C0112E2"/>
    <w:rsid w:val="7CDD472B"/>
    <w:rsid w:val="7D3754D9"/>
    <w:rsid w:val="7DBB2FD1"/>
    <w:rsid w:val="7DE10FB0"/>
    <w:rsid w:val="7F0D494F"/>
    <w:rsid w:val="7F150591"/>
    <w:rsid w:val="7F320812"/>
    <w:rsid w:val="7FAF3AB2"/>
    <w:rsid w:val="7FC65B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4">
    <w:name w:val="heading 1"/>
    <w:basedOn w:val="1"/>
    <w:next w:val="1"/>
    <w:link w:val="14"/>
    <w:qFormat/>
    <w:uiPriority w:val="0"/>
    <w:pPr>
      <w:keepNext/>
      <w:keepLines/>
      <w:kinsoku w:val="0"/>
      <w:overflowPunct w:val="0"/>
      <w:autoSpaceDE w:val="0"/>
      <w:autoSpaceDN w:val="0"/>
      <w:adjustRightInd w:val="0"/>
      <w:snapToGrid w:val="0"/>
      <w:spacing w:beforeAutospacing="1" w:afterAutospacing="1" w:line="360" w:lineRule="auto"/>
      <w:ind w:firstLine="420" w:firstLineChars="200"/>
      <w:outlineLvl w:val="0"/>
    </w:pPr>
    <w:rPr>
      <w:rFonts w:eastAsia="华文仿宋"/>
      <w:b/>
      <w:kern w:val="44"/>
    </w:rPr>
  </w:style>
  <w:style w:type="paragraph" w:styleId="5">
    <w:name w:val="heading 2"/>
    <w:basedOn w:val="6"/>
    <w:next w:val="1"/>
    <w:link w:val="13"/>
    <w:semiHidden/>
    <w:unhideWhenUsed/>
    <w:qFormat/>
    <w:uiPriority w:val="0"/>
    <w:pPr>
      <w:kinsoku w:val="0"/>
      <w:overflowPunct w:val="0"/>
      <w:autoSpaceDE w:val="0"/>
      <w:autoSpaceDN w:val="0"/>
      <w:adjustRightInd w:val="0"/>
      <w:snapToGrid w:val="0"/>
      <w:spacing w:line="360" w:lineRule="auto"/>
      <w:ind w:left="0" w:leftChars="0" w:firstLine="420" w:firstLineChars="200"/>
      <w:jc w:val="left"/>
      <w:outlineLvl w:val="1"/>
    </w:pPr>
    <w:rPr>
      <w:rFonts w:ascii="Arial" w:hAnsi="Arial" w:eastAsia="华文仿宋"/>
      <w:snapToGrid w:val="0"/>
      <w:kern w:val="0"/>
      <w:sz w:val="28"/>
    </w:rPr>
  </w:style>
  <w:style w:type="paragraph" w:styleId="7">
    <w:name w:val="heading 3"/>
    <w:basedOn w:val="1"/>
    <w:next w:val="1"/>
    <w:link w:val="15"/>
    <w:semiHidden/>
    <w:unhideWhenUsed/>
    <w:qFormat/>
    <w:uiPriority w:val="0"/>
    <w:pPr>
      <w:keepNext/>
      <w:keepLines/>
      <w:adjustRightInd w:val="0"/>
      <w:snapToGrid w:val="0"/>
      <w:spacing w:line="360" w:lineRule="auto"/>
      <w:ind w:firstLine="883" w:firstLineChars="200"/>
      <w:jc w:val="left"/>
      <w:outlineLvl w:val="2"/>
    </w:pPr>
    <w:rPr>
      <w:rFonts w:eastAsia="仿宋"/>
      <w:sz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spacing w:after="120"/>
    </w:pPr>
  </w:style>
  <w:style w:type="paragraph" w:styleId="6">
    <w:name w:val="Body Text Indent 2"/>
    <w:basedOn w:val="1"/>
    <w:qFormat/>
    <w:uiPriority w:val="0"/>
    <w:pPr>
      <w:spacing w:after="120" w:line="480" w:lineRule="auto"/>
      <w:ind w:left="420" w:leftChars="2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2"/>
    <w:basedOn w:val="1"/>
    <w:qFormat/>
    <w:uiPriority w:val="0"/>
    <w:pPr>
      <w:spacing w:after="120" w:line="480" w:lineRule="auto"/>
    </w:pPr>
  </w:style>
  <w:style w:type="character" w:customStyle="1" w:styleId="13">
    <w:name w:val="标题 2 字符"/>
    <w:link w:val="5"/>
    <w:qFormat/>
    <w:uiPriority w:val="0"/>
    <w:rPr>
      <w:rFonts w:ascii="Arial" w:hAnsi="Arial" w:eastAsia="华文仿宋" w:cstheme="minorBidi"/>
      <w:b/>
      <w:sz w:val="28"/>
      <w:szCs w:val="22"/>
    </w:rPr>
  </w:style>
  <w:style w:type="character" w:customStyle="1" w:styleId="14">
    <w:name w:val="标题 1 字符"/>
    <w:link w:val="4"/>
    <w:qFormat/>
    <w:uiPriority w:val="0"/>
    <w:rPr>
      <w:rFonts w:ascii="Calibri" w:hAnsi="Calibri" w:eastAsia="华文仿宋"/>
      <w:b/>
      <w:kern w:val="44"/>
      <w:sz w:val="28"/>
      <w:szCs w:val="24"/>
    </w:rPr>
  </w:style>
  <w:style w:type="character" w:customStyle="1" w:styleId="15">
    <w:name w:val="标题 3 字符"/>
    <w:link w:val="7"/>
    <w:qFormat/>
    <w:uiPriority w:val="0"/>
    <w:rPr>
      <w:rFonts w:ascii="Calibri" w:hAnsi="Calibri" w:eastAsia="仿宋"/>
      <w:kern w:val="2"/>
      <w:sz w:val="28"/>
      <w:szCs w:val="24"/>
    </w:rPr>
  </w:style>
  <w:style w:type="character" w:customStyle="1" w:styleId="16">
    <w:name w:val="font01"/>
    <w:basedOn w:val="12"/>
    <w:qFormat/>
    <w:uiPriority w:val="0"/>
    <w:rPr>
      <w:rFonts w:hint="default" w:ascii="Arial" w:hAnsi="Arial" w:cs="Arial"/>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2244</Words>
  <Characters>2389</Characters>
  <Lines>17</Lines>
  <Paragraphs>4</Paragraphs>
  <TotalTime>16</TotalTime>
  <ScaleCrop>false</ScaleCrop>
  <LinksUpToDate>false</LinksUpToDate>
  <CharactersWithSpaces>2411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2020-06-03T02:29:00Z</dcterms:created>
  <dc:creator>wu</dc:creator>
  <cp:lastModifiedBy>四块钱</cp:lastModifiedBy>
  <cp:lastPrinted>2025-04-28T12:11:40Z</cp:lastPrinted>
  <dcterms:modified xsi:type="dcterms:W3CDTF">2025-04-28T12:13:21Z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AAB37A9411664337A9400F947055F3E1</vt:lpwstr>
  </property>
  <property fmtid="{D5CDD505-2E9C-101B-9397-08002B2CF9AE}" pid="4" name="KSOTemplateDocerSaveRecord">
    <vt:lpwstr>eyJoZGlkIjoiNjA4ZThjNWFmZDZhYWQ0YmUwYjJlNjA1MmRiYmY4MGMiLCJ1c2VySWQiOiIzMTM1NjI0OTEifQ==</vt:lpwstr>
  </property>
</Properties>
</file>